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09" w:rsidRPr="00C87BF1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903363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highlight w:val="yellow"/>
        </w:rPr>
        <w:t>ANNO 2019</w:t>
      </w:r>
      <w:r w:rsidRPr="00C87BF1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 - REGOLAMENTO PER LE SOCIETA' PARTECIPANTI</w:t>
      </w:r>
    </w:p>
    <w:p w:rsidR="00B44109" w:rsidRPr="00C87BF1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AL “PODISMO SPORTIVO DEL VARESOTTO a.s.d.”</w:t>
      </w:r>
    </w:p>
    <w:p w:rsidR="00B44109" w:rsidRPr="00C87BF1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B44109" w:rsidRPr="00C87BF1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 New Roman" w:hAnsi="TimesNewRomanPS-BoldMT" w:cs="TimesNewRomanPS-BoldMT"/>
          <w:b/>
          <w:bCs/>
          <w:sz w:val="28"/>
          <w:szCs w:val="28"/>
          <w:highlight w:val="yellow"/>
        </w:rPr>
        <w:t>NOVITA’  2019</w:t>
      </w: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  <w:highlight w:val="yellow"/>
        </w:rPr>
        <w:t xml:space="preserve"> EVIDENZIATE</w:t>
      </w:r>
    </w:p>
    <w:p w:rsidR="00B44109" w:rsidRPr="00903363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B44109" w:rsidRPr="00903363" w:rsidRDefault="00B44109" w:rsidP="00B26258">
      <w:pPr>
        <w:pStyle w:val="NormalWeb"/>
        <w:numPr>
          <w:ilvl w:val="0"/>
          <w:numId w:val="1"/>
        </w:numPr>
        <w:rPr>
          <w:rStyle w:val="Strong"/>
          <w:b w:val="0"/>
          <w:bCs w:val="0"/>
        </w:rPr>
      </w:pPr>
      <w:r w:rsidRPr="00903363">
        <w:t> </w:t>
      </w:r>
      <w:r w:rsidRPr="00903363">
        <w:rPr>
          <w:rStyle w:val="Strong"/>
          <w:sz w:val="28"/>
          <w:szCs w:val="28"/>
        </w:rPr>
        <w:t xml:space="preserve"> 1-  Sono considerati “GRUPPI  PDO" le Società che iscrivono alle gare un minimo di 15 Atleti al Piededoro.  </w:t>
      </w:r>
      <w:r w:rsidRPr="00903363">
        <w:rPr>
          <w:rStyle w:val="Strong"/>
        </w:rPr>
        <w:t xml:space="preserve"> </w:t>
      </w:r>
    </w:p>
    <w:p w:rsidR="00B44109" w:rsidRPr="00903363" w:rsidRDefault="00B44109" w:rsidP="00B26258">
      <w:pPr>
        <w:pStyle w:val="NormalWeb"/>
        <w:ind w:left="720"/>
        <w:rPr>
          <w:rFonts w:ascii="Cambria" w:hAnsi="Cambria"/>
          <w:sz w:val="28"/>
          <w:szCs w:val="28"/>
        </w:rPr>
      </w:pPr>
      <w:r w:rsidRPr="00903363">
        <w:rPr>
          <w:rFonts w:ascii="Cambria" w:hAnsi="Cambria"/>
          <w:sz w:val="28"/>
          <w:szCs w:val="28"/>
        </w:rPr>
        <w:t xml:space="preserve">Per i  GRUPPI PDO che iscriveranno per 18 gare un minimo di 15 atleti  e che intendono organizzare una gara da inserire nel calendario 2020 dovranno versare una quota di </w:t>
      </w:r>
      <w:r w:rsidRPr="00903363">
        <w:rPr>
          <w:rFonts w:ascii="Cambria" w:hAnsi="Cambria"/>
          <w:b/>
          <w:sz w:val="28"/>
          <w:szCs w:val="28"/>
        </w:rPr>
        <w:t>€ 80,00</w:t>
      </w:r>
      <w:r w:rsidRPr="00903363">
        <w:rPr>
          <w:rFonts w:ascii="Cambria" w:hAnsi="Cambria"/>
          <w:sz w:val="28"/>
          <w:szCs w:val="28"/>
        </w:rPr>
        <w:t xml:space="preserve">  Per tutte le altre Società o Gruppi  la quota di iscrizione  sarà di </w:t>
      </w:r>
      <w:r w:rsidRPr="00903363">
        <w:rPr>
          <w:rFonts w:ascii="Cambria" w:hAnsi="Cambria"/>
          <w:b/>
          <w:sz w:val="28"/>
          <w:szCs w:val="28"/>
        </w:rPr>
        <w:t>€ 130,00</w:t>
      </w:r>
      <w:r w:rsidRPr="00903363">
        <w:rPr>
          <w:rFonts w:ascii="Cambria" w:hAnsi="Cambria"/>
          <w:sz w:val="28"/>
          <w:szCs w:val="28"/>
        </w:rPr>
        <w:t>.</w:t>
      </w:r>
    </w:p>
    <w:p w:rsidR="00B44109" w:rsidRDefault="00B44109" w:rsidP="00B26258">
      <w:pPr>
        <w:pStyle w:val="NormalWeb"/>
        <w:rPr>
          <w:rStyle w:val="Strong"/>
          <w:sz w:val="28"/>
          <w:szCs w:val="28"/>
        </w:rPr>
      </w:pPr>
      <w:smartTag w:uri="urn:schemas-microsoft-com:office:smarttags" w:element="PersonName">
        <w:smartTagPr>
          <w:attr w:name="ProductID" w:val="La GRANDE"/>
        </w:smartTagPr>
        <w:r w:rsidRPr="00903363">
          <w:rPr>
            <w:rStyle w:val="Strong"/>
            <w:sz w:val="28"/>
            <w:szCs w:val="28"/>
          </w:rPr>
          <w:t>La GRANDE</w:t>
        </w:r>
      </w:smartTag>
      <w:r w:rsidRPr="00903363">
        <w:rPr>
          <w:rStyle w:val="Strong"/>
          <w:sz w:val="28"/>
          <w:szCs w:val="28"/>
        </w:rPr>
        <w:t xml:space="preserve"> novità del Piededoro 2019  riguarda i Gruppi. Verrà istituita una Classifica finale di merito che premierà tutti Gruppi in base alle iscrizioni e di conseguenza, alle presenze nelle Gare di Calendario. </w:t>
      </w:r>
    </w:p>
    <w:p w:rsidR="00B44109" w:rsidRPr="00903363" w:rsidRDefault="00B44109" w:rsidP="00B26258">
      <w:pPr>
        <w:pStyle w:val="NormalWeb"/>
        <w:rPr>
          <w:sz w:val="28"/>
          <w:szCs w:val="28"/>
        </w:rPr>
      </w:pPr>
      <w:r w:rsidRPr="00903363">
        <w:rPr>
          <w:rStyle w:val="Strong"/>
          <w:sz w:val="28"/>
          <w:szCs w:val="28"/>
        </w:rPr>
        <w:t xml:space="preserve">Più Atleti iscritti  porti al traguardo, più punti avrà il tuo Gruppo. </w:t>
      </w:r>
    </w:p>
    <w:p w:rsidR="00B44109" w:rsidRPr="00903363" w:rsidRDefault="00B44109" w:rsidP="00B26258">
      <w:pPr>
        <w:pStyle w:val="NormalWeb"/>
        <w:rPr>
          <w:sz w:val="28"/>
          <w:szCs w:val="28"/>
        </w:rPr>
      </w:pPr>
      <w:r w:rsidRPr="00903363">
        <w:rPr>
          <w:rStyle w:val="Strong"/>
          <w:sz w:val="28"/>
          <w:szCs w:val="28"/>
        </w:rPr>
        <w:t xml:space="preserve">Sarà inoltre effettuata una Classifica "TOP" dei primi tre Gruppi che si dimostreranno i più forti nelle Gare scelte ad inizio anno podistico. Saranno 5 Gare che decideranno quale sarà la "SocietàTop" </w:t>
      </w:r>
    </w:p>
    <w:p w:rsidR="00B44109" w:rsidRPr="00C87BF1" w:rsidRDefault="00B44109" w:rsidP="006963DE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>
        <w:rPr>
          <w:rFonts w:ascii="TimesNewRomanPSMT" w:eastAsia="Times New Roman" w:hAnsi="TimesNewRomanPSMT" w:cs="TimesNewRomanPSMT"/>
          <w:sz w:val="28"/>
          <w:szCs w:val="28"/>
        </w:rPr>
        <w:t xml:space="preserve">La quota di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iscrizione dei singoli atleti alle manifestazioni deve essere versata al momento dell'adesione.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Le gare inserite nel calendario sono valide per l'assegnazione dei riconoscimenti e dei premi “Piede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d'Oro” e dei punteggi ai fini della classifica di categoria.</w:t>
      </w:r>
    </w:p>
    <w:p w:rsidR="00B44109" w:rsidRPr="00C87BF1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Ogni gruppo è riconosciuto come tale se ha iscritto al Piede d'Oro almeno 15 atleti adulti.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 xml:space="preserve">2- Sono considerate Società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quelle costituite ai sensi del titolo V del Codice Civile.</w:t>
      </w:r>
    </w:p>
    <w:p w:rsidR="00B44109" w:rsidRPr="00903363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Non possono essere considerate Società, in special modo ai fini dell'assegnazione dei premi e delle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classifiche, quelle costituite a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d hoc per partecipare a singole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manifestazioni (ad es. classi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scolastiche, gruppi di oratorio o bar, squadre composte da atleti di diverse società ecc.). E' però data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facoltà alla Società organizzatrice di premiare tali gruppi a parte, dandone indicazione sul volantino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della gara.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 xml:space="preserve">2.1 Le Società partecipanti alle manifestazioni del “Podismo Sportivo del </w:t>
      </w:r>
      <w:r w:rsidRPr="00903363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Varesotto” ovvero i gruppi che organizzano una gara all'interno del circuito,</w:t>
      </w: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 xml:space="preserve"> hanno il divieto di organizzare altre manifestazioni podistiche in concomitanza con le gare in calendario.</w:t>
      </w:r>
    </w:p>
    <w:p w:rsidR="00B44109" w:rsidRPr="00C87BF1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Nel caso di cui sopra le predette Società non avranno la possibilità di organizzare una loro gara nel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calendario del Piede d’Oro per l’anno successivo.</w:t>
      </w:r>
    </w:p>
    <w:p w:rsidR="00B44109" w:rsidRPr="00C87BF1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2.2 Le Società partecipanti alle manifestazione del “Podismo Sportivo del Varesotto”</w:t>
      </w:r>
      <w:r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 xml:space="preserve"> </w:t>
      </w: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hanno il divieto di vendere i biglietti di iscrizione delle singole gare ad atleti non iscritti alle stesse.</w:t>
      </w:r>
    </w:p>
    <w:p w:rsidR="00B44109" w:rsidRPr="00C87BF1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Nel caso di cui sopra le predette Società verranno sanzionate con la squalifica dalle premiazioni Gruppi per 4 gare. Alla denuncia successiva verrà applicata la squalifica per il resto dell’anno podistico.</w:t>
      </w:r>
    </w:p>
    <w:p w:rsidR="00B44109" w:rsidRPr="00C87BF1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2.3 Tutte le gare iscritte al Piede d’Oro non potranno essere anche omologate Fidal o altri Enti di Promozione diversi dal C.S.I.</w:t>
      </w:r>
    </w:p>
    <w:p w:rsidR="00B44109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 xml:space="preserve">3- Gli Atleti iscritti al “P.S.V.”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che partecipano alle manifestazioni valide per l'assegnazione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dei riconoscimenti e premi del “Piede d'Oro” sono divisi in CATEGORIE M</w:t>
      </w:r>
      <w:r>
        <w:rPr>
          <w:rFonts w:ascii="TimesNewRomanPSMT" w:eastAsia="Times New Roman" w:hAnsi="TimesNewRomanPSMT" w:cs="TimesNewRomanPSMT"/>
          <w:sz w:val="28"/>
          <w:szCs w:val="28"/>
        </w:rPr>
        <w:t>A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SCHILI e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CATEGORIE FEMMINILI, secondo l'età.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</w:p>
    <w:p w:rsidR="00B44109" w:rsidRPr="00C87BF1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OBBLIGHI DELLE SOCIETA' ADERENTI AL PODISMO SPORTIVO DEL</w:t>
      </w:r>
    </w:p>
    <w:p w:rsidR="00B44109" w:rsidRPr="00C87BF1" w:rsidRDefault="00B44109" w:rsidP="00DF4F44">
      <w:pPr>
        <w:autoSpaceDE w:val="0"/>
        <w:rPr>
          <w:sz w:val="28"/>
          <w:szCs w:val="28"/>
        </w:rPr>
      </w:pP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VARESOTTO” PER L'ORGANIZZAZIONE DELLE GARE</w:t>
      </w:r>
      <w:r w:rsidRPr="00C87BF1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25"/>
        <w:gridCol w:w="7020"/>
      </w:tblGrid>
      <w:tr w:rsidR="00B44109" w:rsidRPr="00C87BF1" w:rsidTr="00947186"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4109" w:rsidRPr="00C87BF1" w:rsidRDefault="00B44109" w:rsidP="0094718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87BF1">
              <w:rPr>
                <w:b/>
                <w:bCs/>
                <w:sz w:val="28"/>
                <w:szCs w:val="28"/>
              </w:rPr>
              <w:t>QUANDO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09" w:rsidRPr="00C87BF1" w:rsidRDefault="00B44109" w:rsidP="00947186">
            <w:pPr>
              <w:pStyle w:val="TableContents"/>
              <w:jc w:val="center"/>
              <w:rPr>
                <w:sz w:val="28"/>
                <w:szCs w:val="28"/>
              </w:rPr>
            </w:pPr>
            <w:r w:rsidRPr="00C87BF1">
              <w:rPr>
                <w:b/>
                <w:bCs/>
                <w:sz w:val="28"/>
                <w:szCs w:val="28"/>
              </w:rPr>
              <w:t>COSA</w:t>
            </w:r>
          </w:p>
        </w:tc>
      </w:tr>
      <w:tr w:rsidR="00B44109" w:rsidRPr="00C87BF1" w:rsidTr="00947186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</w:tcPr>
          <w:p w:rsidR="00B44109" w:rsidRPr="00C87BF1" w:rsidRDefault="00B44109" w:rsidP="00947186">
            <w:pPr>
              <w:pStyle w:val="TableContents"/>
              <w:rPr>
                <w:sz w:val="28"/>
                <w:szCs w:val="28"/>
              </w:rPr>
            </w:pPr>
          </w:p>
          <w:p w:rsidR="00B44109" w:rsidRPr="00C87BF1" w:rsidRDefault="00B44109" w:rsidP="0094718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ALLA PRESENTAZIONE DI GENNAIO</w:t>
            </w:r>
          </w:p>
          <w:p w:rsidR="00B44109" w:rsidRPr="00C87BF1" w:rsidRDefault="00B44109" w:rsidP="0094718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09" w:rsidRPr="00C87BF1" w:rsidRDefault="00B44109" w:rsidP="0094718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Consegna della copertina della gara dell’altimetria conferma dei metri del percorso lungo e corto e tutte le info generali da mettere sul sito del Pdo</w:t>
            </w:r>
          </w:p>
        </w:tc>
      </w:tr>
      <w:tr w:rsidR="00B44109" w:rsidRPr="00C87BF1" w:rsidTr="00947186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</w:tcPr>
          <w:p w:rsidR="00B44109" w:rsidRPr="00C87BF1" w:rsidRDefault="00B44109" w:rsidP="0017589F">
            <w:pPr>
              <w:pStyle w:val="TableContents"/>
              <w:rPr>
                <w:sz w:val="28"/>
                <w:szCs w:val="28"/>
              </w:rPr>
            </w:pPr>
          </w:p>
          <w:p w:rsidR="00B44109" w:rsidRPr="00C87BF1" w:rsidRDefault="00B44109" w:rsidP="0017589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87BF1">
              <w:rPr>
                <w:b/>
                <w:bCs/>
                <w:sz w:val="28"/>
                <w:szCs w:val="28"/>
              </w:rPr>
              <w:t>6 SETTIMANE PRIMA DELLA GARA</w:t>
            </w:r>
          </w:p>
          <w:p w:rsidR="00B44109" w:rsidRPr="00C87BF1" w:rsidRDefault="00B44109" w:rsidP="0017589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09" w:rsidRPr="00C87BF1" w:rsidRDefault="00B44109" w:rsidP="0017589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87BF1">
              <w:rPr>
                <w:sz w:val="28"/>
                <w:szCs w:val="28"/>
              </w:rPr>
              <w:t>Presenza alla riunione Piede d'oro(nella sede di vi</w:t>
            </w:r>
            <w:r>
              <w:rPr>
                <w:sz w:val="28"/>
                <w:szCs w:val="28"/>
              </w:rPr>
              <w:t>a Amendola 11 Varese dalle ore 21</w:t>
            </w:r>
            <w:r w:rsidRPr="00C87BF1">
              <w:rPr>
                <w:sz w:val="28"/>
                <w:szCs w:val="28"/>
              </w:rPr>
              <w:t xml:space="preserve">,00  il primo e il terzo lunedì del mese) per valutare insieme lo stato di avanzamento dell'organizzazione della gara,  presentazione della bozza del volantino della gara, per evitare problematiche, e quindi porvi rimedio, </w:t>
            </w:r>
            <w:r w:rsidRPr="00C87BF1">
              <w:rPr>
                <w:sz w:val="28"/>
                <w:szCs w:val="28"/>
                <w:highlight w:val="yellow"/>
              </w:rPr>
              <w:t>consegna del volantino in formato digitale da mettere sul sito del piede d'oro</w:t>
            </w:r>
          </w:p>
        </w:tc>
      </w:tr>
      <w:tr w:rsidR="00B44109" w:rsidRPr="00C87BF1" w:rsidTr="00947186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</w:tcPr>
          <w:p w:rsidR="00B44109" w:rsidRPr="00C87BF1" w:rsidRDefault="00B44109" w:rsidP="0017589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09" w:rsidRPr="00C87BF1" w:rsidRDefault="00B44109" w:rsidP="0017589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4109" w:rsidRPr="00C87BF1" w:rsidTr="00947186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</w:tcPr>
          <w:p w:rsidR="00B44109" w:rsidRPr="00C87BF1" w:rsidRDefault="00B44109" w:rsidP="0017589F">
            <w:pPr>
              <w:pStyle w:val="TableContents"/>
              <w:jc w:val="center"/>
              <w:rPr>
                <w:sz w:val="28"/>
                <w:szCs w:val="28"/>
              </w:rPr>
            </w:pPr>
            <w:r w:rsidRPr="00C87BF1">
              <w:rPr>
                <w:b/>
                <w:bCs/>
                <w:sz w:val="28"/>
                <w:szCs w:val="28"/>
              </w:rPr>
              <w:t>1 SETTIMANA PRIMA DELLA GARA</w:t>
            </w: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09" w:rsidRPr="00C87BF1" w:rsidRDefault="00B44109" w:rsidP="0017589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87BF1">
              <w:rPr>
                <w:sz w:val="28"/>
                <w:szCs w:val="28"/>
              </w:rPr>
              <w:t>Ritiro del materiale necessario ( bersò, podio, gazebo, striscioni pubblicitari, cartelli segnaletici, ecc. ) che servirà per la propria gara.</w:t>
            </w:r>
          </w:p>
        </w:tc>
      </w:tr>
      <w:tr w:rsidR="00B44109" w:rsidRPr="00C87BF1" w:rsidTr="00B3722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</w:tcPr>
          <w:p w:rsidR="00B44109" w:rsidRPr="00C87BF1" w:rsidRDefault="00B44109" w:rsidP="004B448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GIORNI</w:t>
            </w:r>
            <w:r w:rsidRPr="00C87BF1">
              <w:rPr>
                <w:b/>
                <w:bCs/>
                <w:sz w:val="28"/>
                <w:szCs w:val="28"/>
              </w:rPr>
              <w:t xml:space="preserve"> PRIMA DELLA GARA</w:t>
            </w: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09" w:rsidRPr="00C87BF1" w:rsidRDefault="00B44109" w:rsidP="004B448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87BF1">
              <w:rPr>
                <w:sz w:val="28"/>
                <w:szCs w:val="28"/>
              </w:rPr>
              <w:t xml:space="preserve">Completamento del volantino con premiazioni dettagliate e </w:t>
            </w:r>
            <w:r w:rsidRPr="00C87BF1">
              <w:rPr>
                <w:sz w:val="28"/>
                <w:szCs w:val="28"/>
                <w:highlight w:val="yellow"/>
              </w:rPr>
              <w:t>consegna della versione digitale da mettere sul sito del piede d'oro</w:t>
            </w:r>
            <w:r>
              <w:rPr>
                <w:sz w:val="28"/>
                <w:szCs w:val="28"/>
              </w:rPr>
              <w:t xml:space="preserve"> e preparazione delle info generali da spedire alla stampa.</w:t>
            </w:r>
          </w:p>
        </w:tc>
      </w:tr>
      <w:tr w:rsidR="00B44109" w:rsidRPr="00C87BF1" w:rsidTr="00EC3D35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</w:tcPr>
          <w:p w:rsidR="00B44109" w:rsidRPr="00C87BF1" w:rsidRDefault="00B44109" w:rsidP="004B448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87BF1">
              <w:rPr>
                <w:b/>
                <w:bCs/>
                <w:sz w:val="28"/>
                <w:szCs w:val="28"/>
              </w:rPr>
              <w:t>GARA</w:t>
            </w:r>
          </w:p>
          <w:p w:rsidR="00B44109" w:rsidRPr="00C87BF1" w:rsidRDefault="00B44109" w:rsidP="004B448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B44109" w:rsidRPr="00C87BF1" w:rsidRDefault="00B44109" w:rsidP="004B448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B44109" w:rsidRPr="00C87BF1" w:rsidRDefault="00B44109" w:rsidP="004B448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87BF1">
              <w:rPr>
                <w:b/>
                <w:bCs/>
                <w:sz w:val="28"/>
                <w:szCs w:val="28"/>
              </w:rPr>
              <w:t>DOPO GARA</w:t>
            </w:r>
          </w:p>
          <w:p w:rsidR="00B44109" w:rsidRPr="00C87BF1" w:rsidRDefault="00B44109" w:rsidP="004B448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09" w:rsidRDefault="00B44109" w:rsidP="004B4481">
            <w:pPr>
              <w:pStyle w:val="TableContents"/>
              <w:jc w:val="center"/>
              <w:rPr>
                <w:sz w:val="28"/>
                <w:szCs w:val="28"/>
              </w:rPr>
            </w:pPr>
            <w:r w:rsidRPr="00903363">
              <w:rPr>
                <w:sz w:val="28"/>
                <w:szCs w:val="28"/>
                <w:highlight w:val="yellow"/>
              </w:rPr>
              <w:t xml:space="preserve">L'arrivo deve essere pronto 75 minuti prima della </w:t>
            </w:r>
            <w:r w:rsidRPr="007E6ACD">
              <w:rPr>
                <w:sz w:val="28"/>
                <w:szCs w:val="28"/>
                <w:highlight w:val="yellow"/>
              </w:rPr>
              <w:t>manifestazione</w:t>
            </w:r>
            <w:r w:rsidRPr="007E6ACD">
              <w:rPr>
                <w:sz w:val="28"/>
                <w:szCs w:val="28"/>
              </w:rPr>
              <w:t xml:space="preserve"> e fornito di 2 tavoli alla</w:t>
            </w:r>
            <w:r w:rsidRPr="00C87BF1">
              <w:rPr>
                <w:sz w:val="28"/>
                <w:szCs w:val="28"/>
              </w:rPr>
              <w:t xml:space="preserve"> base del gazebo </w:t>
            </w:r>
          </w:p>
          <w:p w:rsidR="00B44109" w:rsidRPr="00C87BF1" w:rsidRDefault="00B44109" w:rsidP="004B4481">
            <w:pPr>
              <w:pStyle w:val="TableContents"/>
              <w:jc w:val="center"/>
              <w:rPr>
                <w:sz w:val="28"/>
                <w:szCs w:val="28"/>
              </w:rPr>
            </w:pPr>
            <w:r w:rsidRPr="00C87BF1">
              <w:rPr>
                <w:sz w:val="28"/>
                <w:szCs w:val="28"/>
              </w:rPr>
              <w:t>e di presa elettrica per le apparecchiature</w:t>
            </w:r>
          </w:p>
          <w:p w:rsidR="00B44109" w:rsidRPr="00C87BF1" w:rsidRDefault="00B44109" w:rsidP="004B4481">
            <w:pPr>
              <w:pStyle w:val="TableContents"/>
              <w:jc w:val="center"/>
              <w:rPr>
                <w:sz w:val="28"/>
                <w:szCs w:val="28"/>
              </w:rPr>
            </w:pPr>
            <w:r w:rsidRPr="00C87BF1">
              <w:rPr>
                <w:sz w:val="28"/>
                <w:szCs w:val="28"/>
              </w:rPr>
              <w:t>I cartelli offerti dal Piede d'oro, andranno resi al più tardi la gara successiva entro le ore 9,00, oppure presso Lampadari Frigo Nereo Varese Via Crispi n°110 Tel. 0332-229132</w:t>
            </w:r>
          </w:p>
        </w:tc>
      </w:tr>
    </w:tbl>
    <w:p w:rsidR="00B44109" w:rsidRPr="00C87BF1" w:rsidRDefault="00B44109" w:rsidP="00DF4F44">
      <w:pPr>
        <w:autoSpaceDE w:val="0"/>
        <w:rPr>
          <w:sz w:val="28"/>
          <w:szCs w:val="28"/>
        </w:rPr>
      </w:pPr>
    </w:p>
    <w:p w:rsidR="00B44109" w:rsidRPr="00C87BF1" w:rsidRDefault="00B44109" w:rsidP="00DF4F44">
      <w:pPr>
        <w:autoSpaceDE w:val="0"/>
        <w:rPr>
          <w:sz w:val="28"/>
          <w:szCs w:val="28"/>
        </w:rPr>
      </w:pPr>
    </w:p>
    <w:p w:rsidR="00B44109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color w:val="2C2929"/>
          <w:sz w:val="28"/>
          <w:szCs w:val="28"/>
        </w:rPr>
      </w:pPr>
    </w:p>
    <w:p w:rsidR="00B44109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C87BF1">
        <w:rPr>
          <w:rFonts w:ascii="TimesNewRomanPS-BoldMT" w:eastAsia="Times New Roman" w:hAnsi="TimesNewRomanPS-BoldMT" w:cs="TimesNewRomanPS-BoldMT"/>
          <w:b/>
          <w:bCs/>
          <w:color w:val="2C2929"/>
          <w:sz w:val="28"/>
          <w:szCs w:val="28"/>
        </w:rPr>
        <w:t>VOLANTINO PUBBLICITARIO &gt;&gt;&gt; Vedi documento "Come organizzare una corsa podistica"</w:t>
      </w: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pag.7</w:t>
      </w:r>
    </w:p>
    <w:p w:rsidR="00B44109" w:rsidRPr="00C87BF1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5- PARTENZA, PERCORSO e ARRIVO</w:t>
      </w:r>
    </w:p>
    <w:p w:rsidR="00B44109" w:rsidRPr="00C87BF1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5.1 E' facoltà del Consiglio Direttivo omologare il percorso, dietro indicazione dei Direttori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Sportivi. Le società dovranno comunque attenersi anche ai consigli espressi nel giudizio dell'anno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precedente.</w:t>
      </w:r>
    </w:p>
    <w:p w:rsidR="00B44109" w:rsidRPr="00C87BF1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per il resto &gt;&gt;&gt; Vedi documento "Come organizzare una corsa podistica" Pag.4 e 5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6- ISCRIZIONI e PREMIAZIONI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6.1 Le Società o Gruppi aderenti al P.S.V. devono comunicare la loro partecipazione alle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 xml:space="preserve">manifestazioni entro e non oltre le ore </w:t>
      </w: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 xml:space="preserve">21.00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 xml:space="preserve">del giorno precedente telefonando al </w:t>
      </w:r>
      <w:r>
        <w:rPr>
          <w:rFonts w:ascii="TimesNewRomanPSMT" w:eastAsia="Times New Roman" w:hAnsi="TimesNewRomanPSMT" w:cs="TimesNewRomanPSMT"/>
          <w:sz w:val="28"/>
          <w:szCs w:val="28"/>
        </w:rPr>
        <w:t>recapito indicato o inviando una mail a piededorovarese@gmail.com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Nel caso contrario verranno messe all'ultimo posto della classifica gruppi.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6.2 Le Società o Gruppi appartenenti ad altre Associazioni, o provenienti da fuori provincia,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sono esentati dal comunicare telefonicamente la loro partecipazione e possono iscriversi alla gara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fino a 30 minuti prima dell'inizio della stessa ma saranno aggiunte all'ultimo posto in classifica.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Gli Atleti singoli possono iscriversi sino al momento della partenza.</w:t>
      </w:r>
    </w:p>
    <w:p w:rsidR="00B44109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>
        <w:rPr>
          <w:rFonts w:ascii="TimesNewRomanPSMT" w:eastAsia="Times New Roman" w:hAnsi="TimesNewRomanPSMT" w:cs="TimesNewRomanPSMT"/>
          <w:sz w:val="28"/>
          <w:szCs w:val="28"/>
        </w:rPr>
        <w:t>6.3 I braccialetti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 xml:space="preserve"> di iscrizione degli Atleti devono essere fatti in materiale tale da non scolorire 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in caso di pioggia o sudore. </w:t>
      </w:r>
      <w:r w:rsidRPr="00B16C0F">
        <w:rPr>
          <w:rFonts w:ascii="TimesNewRomanPSMT" w:eastAsia="Times New Roman" w:hAnsi="TimesNewRomanPSMT" w:cs="TimesNewRomanPSMT"/>
          <w:sz w:val="28"/>
          <w:szCs w:val="28"/>
          <w:highlight w:val="yellow"/>
        </w:rPr>
        <w:t>E’ dovere dell’organizzazione controllare che ogni atleta che taglia il traguardo sia provvisto del braccialetto e in caso contrario segnalarlo al Consiglio Direttivo per l’attuazione dei provvedimenti necessari.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 xml:space="preserve">6.4 Le premiazioni che le Società organizzatrici </w:t>
      </w: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&gt;&gt;&gt; Vedi documento "Come organizzare una corsa podistica" Pag.6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903363">
        <w:rPr>
          <w:rFonts w:ascii="TimesNewRomanPSMT" w:eastAsia="Times New Roman" w:hAnsi="TimesNewRomanPSMT" w:cs="TimesNewRomanPSMT"/>
          <w:sz w:val="28"/>
          <w:szCs w:val="28"/>
        </w:rPr>
        <w:t xml:space="preserve">6.5 DAL 2017 DECADE L'OBBLIGO DI PREMIARE </w:t>
      </w:r>
      <w:r w:rsidRPr="00903363">
        <w:rPr>
          <w:rFonts w:ascii="TimesNewRomanPSMT" w:eastAsia="Times New Roman" w:hAnsi="TimesNewRomanPSMT" w:cs="TimesNewRomanPSMT"/>
          <w:sz w:val="28"/>
          <w:szCs w:val="28"/>
          <w:shd w:val="clear" w:color="auto" w:fill="FFFF00"/>
        </w:rPr>
        <w:t xml:space="preserve"> n.15 atleti</w:t>
      </w:r>
      <w:r w:rsidRPr="00903363">
        <w:rPr>
          <w:rFonts w:ascii="TimesNewRomanPSMT" w:eastAsia="Times New Roman" w:hAnsi="TimesNewRomanPSMT" w:cs="TimesNewRomanPSMT"/>
          <w:sz w:val="28"/>
          <w:szCs w:val="28"/>
        </w:rPr>
        <w:t xml:space="preserve"> iscritti al “P.S.V.”, nelle singole manifestazioni, </w:t>
      </w:r>
      <w:r w:rsidRPr="00903363">
        <w:rPr>
          <w:rFonts w:ascii="TimesNewRomanPSMT" w:eastAsia="Times New Roman" w:hAnsi="TimesNewRomanPSMT" w:cs="TimesNewRomanPSMT"/>
          <w:sz w:val="28"/>
          <w:szCs w:val="28"/>
          <w:shd w:val="clear" w:color="auto" w:fill="FFFF00"/>
        </w:rPr>
        <w:t>per categoria,  a discrezione degli organizzatori si possono effettuare dei premi a sorteggio tra gli atleti.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6.6 All'atto della premiazione, qualora venga richiesto anche verbalmente, ogni concorrente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deve essere in grado di presentare un documento di riconoscimento attestante la data di nascita,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pena l'esclusione dalla premiazione in caso di dubbio.</w:t>
      </w:r>
    </w:p>
    <w:p w:rsidR="00B44109" w:rsidRPr="00C87BF1" w:rsidRDefault="00B44109" w:rsidP="00DF4F44">
      <w:pPr>
        <w:autoSpaceDE w:val="0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6.7 Qualunque reclamo da parte degli Atleti deve essere presentato in forma scritta 10 minuti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prima della premiazione, dopo aver consultato i tabelloni che sono esposti a cura della Società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organizzatrice. Nel tabellone dei Gruppi deve essere scritto il numero dei concorrenti.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7- RESPONSABILITA'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7.1 Le manifestazioni sportive omologate dal Podismo Sportivo del Varesotto e dal C.S.I.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sono assicurate per la responsabilità civile con la polizza n° 2043322043, stipulata tra C.S.I e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Società Cattolica Assicurazioni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La società organizzatrice ha la responsabilità dell'ordine pubblico prima durante e dopo la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gara. E’ consigliabile prevedere anche un servizio d’ordine nei parcheggi visti alcuni casi di furto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nelle auto nei primi 30 minuti di gara.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8- RESOCONTO GARA</w:t>
      </w:r>
    </w:p>
    <w:p w:rsidR="00B44109" w:rsidRPr="00C87BF1" w:rsidRDefault="00B44109" w:rsidP="00DF4F44">
      <w:pPr>
        <w:autoSpaceDE w:val="0"/>
        <w:rPr>
          <w:rFonts w:ascii="Calibri" w:eastAsia="Times New Roman" w:hAnsi="Calibri" w:cs="Calibri"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Il Consiglio Direttivo del Psv, provvederà ad emettere resoconto/giudizio della manifestazione e ad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>inviarlo alla società organizzatrice entro 30 giorni .</w:t>
      </w:r>
    </w:p>
    <w:p w:rsidR="00B44109" w:rsidRPr="00C87BF1" w:rsidRDefault="00B44109" w:rsidP="00DF4F44">
      <w:pPr>
        <w:autoSpaceDE w:val="0"/>
        <w:rPr>
          <w:rFonts w:ascii="Calibri" w:eastAsia="Times New Roman" w:hAnsi="Calibri" w:cs="Calibri"/>
          <w:sz w:val="28"/>
          <w:szCs w:val="28"/>
        </w:rPr>
      </w:pP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Letto, approvato e so</w:t>
      </w:r>
      <w:r>
        <w:rPr>
          <w:rFonts w:ascii="TimesNewRomanPSMT" w:eastAsia="Times New Roman" w:hAnsi="TimesNewRomanPSMT" w:cs="TimesNewRomanPSMT"/>
          <w:sz w:val="28"/>
          <w:szCs w:val="28"/>
        </w:rPr>
        <w:t>ttoscritto nella riunione del 03/12/2018</w:t>
      </w:r>
      <w:r w:rsidRPr="00C87BF1">
        <w:rPr>
          <w:rFonts w:ascii="TimesNewRomanPSMT" w:eastAsia="Times New Roman" w:hAnsi="TimesNewRomanPSMT" w:cs="TimesNewRomanPSMT"/>
          <w:sz w:val="28"/>
          <w:szCs w:val="28"/>
        </w:rPr>
        <w:t xml:space="preserve"> nella sede di via Amendola 11 Varese</w:t>
      </w: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  <w:r w:rsidRPr="00C87BF1">
        <w:rPr>
          <w:rFonts w:ascii="TimesNewRomanPSMT" w:eastAsia="Times New Roman" w:hAnsi="TimesNewRomanPSMT" w:cs="TimesNewRomanPSMT"/>
          <w:sz w:val="28"/>
          <w:szCs w:val="28"/>
        </w:rPr>
        <w:t>Il Consiglio Direttivo</w:t>
      </w:r>
    </w:p>
    <w:p w:rsidR="00B44109" w:rsidRPr="004000FC" w:rsidRDefault="00B44109" w:rsidP="00DF4F44">
      <w:pPr>
        <w:autoSpaceDE w:val="0"/>
        <w:rPr>
          <w:rFonts w:ascii="TimesNewRomanPSMT" w:eastAsia="Times New Roman" w:hAnsi="TimesNewRomanPSMT" w:cs="TimesNewRomanPSMT"/>
          <w:color w:val="FF0000"/>
          <w:sz w:val="28"/>
          <w:szCs w:val="28"/>
        </w:rPr>
      </w:pPr>
    </w:p>
    <w:p w:rsidR="00B44109" w:rsidRPr="004000FC" w:rsidRDefault="00B44109" w:rsidP="00DF4F44">
      <w:pPr>
        <w:autoSpaceDE w:val="0"/>
        <w:rPr>
          <w:rFonts w:ascii="TimesNewRomanPSMT" w:eastAsia="Times New Roman" w:hAnsi="TimesNewRomanPSMT" w:cs="TimesNewRomanPSMT"/>
          <w:color w:val="FF0000"/>
          <w:sz w:val="28"/>
          <w:szCs w:val="28"/>
        </w:rPr>
      </w:pP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</w:p>
    <w:p w:rsidR="00B44109" w:rsidRPr="00C87BF1" w:rsidRDefault="00B44109" w:rsidP="00DF4F44">
      <w:pPr>
        <w:autoSpaceDE w:val="0"/>
        <w:rPr>
          <w:rFonts w:ascii="TimesNewRomanPSMT" w:eastAsia="Times New Roman" w:hAnsi="TimesNewRomanPSMT" w:cs="TimesNewRomanPSMT"/>
          <w:sz w:val="28"/>
          <w:szCs w:val="28"/>
        </w:rPr>
      </w:pPr>
    </w:p>
    <w:p w:rsidR="00B44109" w:rsidRPr="00C87BF1" w:rsidRDefault="00B44109">
      <w:pPr>
        <w:rPr>
          <w:sz w:val="28"/>
          <w:szCs w:val="28"/>
        </w:rPr>
      </w:pPr>
    </w:p>
    <w:sectPr w:rsidR="00B44109" w:rsidRPr="00C87BF1" w:rsidSect="006865E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AD4"/>
    <w:multiLevelType w:val="hybridMultilevel"/>
    <w:tmpl w:val="9E0242DC"/>
    <w:lvl w:ilvl="0" w:tplc="400436A4">
      <w:start w:val="1"/>
      <w:numFmt w:val="decimal"/>
      <w:lvlText w:val="%1-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066"/>
    <w:rsid w:val="00032BF3"/>
    <w:rsid w:val="000A4092"/>
    <w:rsid w:val="00103283"/>
    <w:rsid w:val="0017589F"/>
    <w:rsid w:val="0021403E"/>
    <w:rsid w:val="00252E54"/>
    <w:rsid w:val="002D74F8"/>
    <w:rsid w:val="00381066"/>
    <w:rsid w:val="004000FC"/>
    <w:rsid w:val="004B4481"/>
    <w:rsid w:val="00523E5C"/>
    <w:rsid w:val="006865ED"/>
    <w:rsid w:val="006963DE"/>
    <w:rsid w:val="006E3B42"/>
    <w:rsid w:val="007E6ACD"/>
    <w:rsid w:val="00882624"/>
    <w:rsid w:val="00894F1B"/>
    <w:rsid w:val="00903363"/>
    <w:rsid w:val="00940968"/>
    <w:rsid w:val="00947186"/>
    <w:rsid w:val="009778E7"/>
    <w:rsid w:val="009A0E29"/>
    <w:rsid w:val="00A03C31"/>
    <w:rsid w:val="00A571FF"/>
    <w:rsid w:val="00AE0325"/>
    <w:rsid w:val="00B16C0F"/>
    <w:rsid w:val="00B1745C"/>
    <w:rsid w:val="00B26258"/>
    <w:rsid w:val="00B3722E"/>
    <w:rsid w:val="00B44109"/>
    <w:rsid w:val="00B641C8"/>
    <w:rsid w:val="00B66833"/>
    <w:rsid w:val="00BB506F"/>
    <w:rsid w:val="00BF5085"/>
    <w:rsid w:val="00C05371"/>
    <w:rsid w:val="00C3297F"/>
    <w:rsid w:val="00C64FE6"/>
    <w:rsid w:val="00C77B89"/>
    <w:rsid w:val="00C87BF1"/>
    <w:rsid w:val="00CD2339"/>
    <w:rsid w:val="00D30FB5"/>
    <w:rsid w:val="00DA192F"/>
    <w:rsid w:val="00DF4F44"/>
    <w:rsid w:val="00EB1BC8"/>
    <w:rsid w:val="00EC3D35"/>
    <w:rsid w:val="00F83A42"/>
    <w:rsid w:val="00FB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44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DF4F44"/>
    <w:pPr>
      <w:suppressLineNumbers/>
    </w:pPr>
  </w:style>
  <w:style w:type="paragraph" w:styleId="ListParagraph">
    <w:name w:val="List Paragraph"/>
    <w:basedOn w:val="Normal"/>
    <w:uiPriority w:val="99"/>
    <w:qFormat/>
    <w:rsid w:val="00381066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rsid w:val="00B26258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it-IT" w:bidi="ar-SA"/>
    </w:rPr>
  </w:style>
  <w:style w:type="character" w:styleId="Strong">
    <w:name w:val="Strong"/>
    <w:basedOn w:val="DefaultParagraphFont"/>
    <w:uiPriority w:val="99"/>
    <w:qFormat/>
    <w:rsid w:val="00B262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esktop\pdo2018bis\SOCIETA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SOCIETA 2018.dotx</Template>
  <TotalTime>0</TotalTime>
  <Pages>4</Pages>
  <Words>1124</Words>
  <Characters>6412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2019 - REGOLAMENTO PER LE SOCIETA' PARTECIPANTI</dc:title>
  <dc:subject/>
  <dc:creator>marco</dc:creator>
  <cp:keywords/>
  <dc:description/>
  <cp:lastModifiedBy>pdo</cp:lastModifiedBy>
  <cp:revision>2</cp:revision>
  <dcterms:created xsi:type="dcterms:W3CDTF">2019-01-03T15:10:00Z</dcterms:created>
  <dcterms:modified xsi:type="dcterms:W3CDTF">2019-01-03T15:10:00Z</dcterms:modified>
</cp:coreProperties>
</file>